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81" w:rsidRPr="007F7681" w:rsidRDefault="007F7681" w:rsidP="007F76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PORTARIA N</w:t>
      </w:r>
      <w:r w:rsidRPr="007F7681">
        <w:rPr>
          <w:rFonts w:ascii="Tahoma" w:eastAsia="Times New Roman" w:hAnsi="Tahoma" w:cs="Tahoma"/>
          <w:b/>
          <w:bCs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 1169/GM Em 15 de junho de 2004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Institui a </w:t>
      </w:r>
      <w:bookmarkStart w:id="0" w:name="_GoBack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Política Nacional de Atenção Cardiovascular de Alta Complexidade</w:t>
      </w:r>
      <w:bookmarkEnd w:id="0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, e dá outras providências.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O MINISTRO DE ESTADO DA SAÚDE, no uso de suas atribuições, e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garantir o atendimento integral aos portadores de patologias cardiovasculares do Sistema Único de Saúde - SUS;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organizar a assistência aos referidos pacientes, em serviços hierarquizados e regionalizados, e com base nos princípios da universalidade e integralidade das ações de saúde;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garantir a esses pacientes a assistência nos vários níveis de complexidade, por intermédio de equipes multiprofissionais, utilizando-se de técnicas e métodos terapêuticos específicos;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uma nova conformação das Redes Estaduais e/ou Regionais de Atenção em Alta Complexidade Cardiovascular, bem como a de determinar o seu papel na atenção à saúde e as qualidades técnicas necessárias ao bom desempenho de suas funções;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atualizar o sistema de credenciamento e adequá-lo à prestação dos procedimentos de Alta Complexidade, Alta Tecnologia e Alto Custo;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aperfeiçoamento do sistema de informação, referente à Assistência Cardiovascular;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a necessidade de estabelecer mecanismos de regulação, fiscalização, controle e avaliação da assistência prestada a esses pacientes; e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Considerando que a assistência a pacientes portadores de patologias cardiovasculares exige uma estrutura hospitalar de alta complexidade, com área física adequada, profissionais qualificados e suporte de serviços auxiliares de diagnóstico e terapia,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R E S O L V E: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1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Instituir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a Política Nacional de Atenção Cardiovascular de Alta Complexidade, por meio da organização e implantação de Redes Estaduais e/ou Regionais de Atenção em Alta Complexidade Cardiovascular, que serão compostas por serviços de assistência de Alta Complexidade Cardiovascular, situados em Unidades de Assistência em Alta Complexidade Cardiovascular e Centros de Referência em Alta Complexidade Cardiovascular, no território nacional.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2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Determinar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que as Secretarias de Estado da Saúde estabeleçam um planejamento regional hierarquizado para formar a Rede Estadual e/ou Regional de Atenção em Alta Complexidade Cardiovascular, com a finalidade de prestar assistência aos portadores de doenças do sistema cardiovascular que necessitem ser submetidos aos procedimentos classificados como de Alta Complexidade.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Parágrafo único.  A Rede de Atenção em Alta Complexidade Cardiovascular será composta por: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I - Unidades de Assistência em Alta Complexidade Cardiovascular; e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II - Centros de Referência em Alta Complexidade Cardiovascular.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3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Determinar que as Unidades de Assistência em Alta Complexidade Cardiovascular e os Centros de Referência em Alta Complexidade Cardiovascular devem oferecer condições técnicas, instalações físicas, equipamentos e recursos humanos adequados à prestação de assistência especializada a portadores de patologias cardiovasculares e desenvolver forte articulação e integração com o sistema local e regional de atenção à saúde, incluindo, na sua solicitação de credenciamento, os critérios da Política Nacional de Humanização.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Parágrafo único.  As aptidões e atribuições dos serviços de assistência de Alta Complexidade Cardiovascular situados em Unidades de Assistência em Alta Complexidade Cardiovascular e nos Centros de Referência em Alta Complexidade Cardiovascular serão regulamentadas pela Secretaria de Atenção à Saúde – SAS/MS em portaria específica.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800000"/>
          <w:sz w:val="27"/>
          <w:szCs w:val="27"/>
          <w:lang w:eastAsia="pt-BR"/>
        </w:rPr>
      </w:pPr>
      <w:r w:rsidRPr="007F7681">
        <w:rPr>
          <w:rFonts w:ascii="Tahoma" w:eastAsia="Times New Roman" w:hAnsi="Tahoma" w:cs="Tahoma"/>
          <w:sz w:val="20"/>
          <w:szCs w:val="20"/>
          <w:lang w:eastAsia="pt-BR"/>
        </w:rPr>
        <w:t>Art. 4</w:t>
      </w:r>
      <w:r w:rsidRPr="007F7681">
        <w:rPr>
          <w:rFonts w:ascii="Tahoma" w:eastAsia="Times New Roman" w:hAnsi="Tahoma" w:cs="Tahoma"/>
          <w:strike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sz w:val="20"/>
          <w:szCs w:val="20"/>
          <w:lang w:eastAsia="pt-BR"/>
        </w:rPr>
        <w:t xml:space="preserve">  Determinar às Secretarias de Estado da Saúde e às Secretarias Municipais de Saúde em Gestão Plena do Sistema, de acordo com as respectivas condições de gestão e a divisão de </w:t>
      </w:r>
      <w:r w:rsidRPr="007F7681">
        <w:rPr>
          <w:rFonts w:ascii="Tahoma" w:eastAsia="Times New Roman" w:hAnsi="Tahoma" w:cs="Tahoma"/>
          <w:sz w:val="20"/>
          <w:szCs w:val="20"/>
          <w:lang w:eastAsia="pt-BR"/>
        </w:rPr>
        <w:lastRenderedPageBreak/>
        <w:t>responsabilidades definida na Norma Operacional da Assistência à Saúde – NOAS-SUS 01/2002, a adoção das providências necessárias à implantação das Redes Estaduais e/ou Regionais de Atenção em Alta Complexidade Cardiovascular, bem como a organização, habilitação, credenciamento e integração das Unidades de Assistência em Alta Complexidade Cardiovascular e a dos Centros de Referência em Alta Complexidade Cardiovascular que comporão essas Redes.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5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Criar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uma Câmara Técnica, subordinada à Secretaria de Atenção à Saúde – SAS/MS, com o objetivo de acompanhar a implantação e implementação da política instituída pelo artigo 1º desta Portaria.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6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Estabelecer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, no prazo de cento e vinte dias, os seguintes instrumentos de gestão: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I - </w:t>
      </w:r>
      <w:proofErr w:type="gram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avaliação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da qualidade das Unidades cadastradas e das Normas de Acompanhamento de Procedimentos de Alta Complexidade;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II - </w:t>
      </w:r>
      <w:proofErr w:type="gram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formulários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de registros de preenchimento obrigatório: “Registro Brasileiro de Cirurgia Cardiovascular”, “Registro Brasileiro de </w:t>
      </w:r>
      <w:proofErr w:type="spell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Marcapasso</w:t>
      </w:r>
      <w:proofErr w:type="spell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, Desfibrilador e </w:t>
      </w:r>
      <w:proofErr w:type="spell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Ressincronizador</w:t>
      </w:r>
      <w:proofErr w:type="spell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Cardíacos”, “Registro Brasileiro de Cirurgia Vascular”, “Registro Brasileiro de Procedimentos da Cardiologia Intervencionista”, “Registro Brasileiro de Procedimentos </w:t>
      </w:r>
      <w:proofErr w:type="spell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Endovasculares</w:t>
      </w:r>
      <w:proofErr w:type="spell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</w:t>
      </w:r>
      <w:proofErr w:type="spell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Extracardíacos</w:t>
      </w:r>
      <w:proofErr w:type="spell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” e “Registro Brasileiro de Procedimentos em </w:t>
      </w:r>
      <w:proofErr w:type="spellStart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Eletrofisiologia</w:t>
      </w:r>
      <w:proofErr w:type="spell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”.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7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Determinar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que a Secretaria de Atenção à Saúde – SAS/MS adote as medidas necessárias à implantação do disposto nesta Portaria.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8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Definir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que o quantitativo mínimo de procedimentos regulamentados pela SAS/MS, quando devidamente autorizados, tenham a sua realização e pagamento garantidos, com vistas à manutenção da qualidade do serviço.</w:t>
      </w:r>
    </w:p>
    <w:p w:rsidR="007F7681" w:rsidRPr="007F7681" w:rsidRDefault="007F7681" w:rsidP="007F7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Art. 9</w:t>
      </w:r>
      <w:proofErr w:type="gramStart"/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 Esta</w:t>
      </w:r>
      <w:proofErr w:type="gramEnd"/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Portaria entra em vigor na data de sua publicação, revogando a Portaria Conjunta SE-SAS/MS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24, publicada no DOU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177-E, de 13 de setembro de 2000, Seção 1, página 52, a Portaria SAS/MS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450, publicada no DOU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133, de 12 de julho de 2002, Seção 1, página 72, a Portaria SAS/MS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227, publicada no DOU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65, de 5 de abril de 2002, Seção 1, página 73, e a Portaria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640/GM, publicada no DOU n</w:t>
      </w:r>
      <w:r w:rsidRPr="007F7681">
        <w:rPr>
          <w:rFonts w:ascii="Tahoma" w:eastAsia="Times New Roman" w:hAnsi="Tahoma" w:cs="Tahoma"/>
          <w:strike/>
          <w:color w:val="000000"/>
          <w:sz w:val="20"/>
          <w:szCs w:val="20"/>
          <w:lang w:eastAsia="pt-BR"/>
        </w:rPr>
        <w:t>º</w:t>
      </w: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65, de 5 de abril de 2002, Seção 1, página 57.</w:t>
      </w:r>
    </w:p>
    <w:p w:rsidR="007F7681" w:rsidRPr="007F7681" w:rsidRDefault="007F7681" w:rsidP="007F76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F768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7F7681" w:rsidRPr="007F7681" w:rsidRDefault="007F7681" w:rsidP="007F76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768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HUMBERTO COSTA</w:t>
      </w:r>
    </w:p>
    <w:p w:rsidR="0006038E" w:rsidRDefault="0006038E"/>
    <w:sectPr w:rsidR="00060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81"/>
    <w:rsid w:val="0006038E"/>
    <w:rsid w:val="007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C9A94-25BD-46B7-90B4-55E3A75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F7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F768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7F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76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F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F76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F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F768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2018-05-07T14:47:00Z</dcterms:created>
  <dcterms:modified xsi:type="dcterms:W3CDTF">2018-05-07T14:47:00Z</dcterms:modified>
</cp:coreProperties>
</file>